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035F2D">
        <w:rPr>
          <w:b/>
        </w:rPr>
        <w:t>02</w:t>
      </w:r>
      <w:r w:rsidR="00612F35">
        <w:rPr>
          <w:b/>
        </w:rPr>
        <w:t>1</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E404BE">
        <w:rPr>
          <w:b/>
          <w:color w:val="000000" w:themeColor="text1"/>
        </w:rPr>
        <w:t>01</w:t>
      </w:r>
      <w:r w:rsidR="00612F35">
        <w:rPr>
          <w:b/>
          <w:color w:val="000000" w:themeColor="text1"/>
        </w:rPr>
        <w:t>8</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612F35">
        <w:rPr>
          <w:b/>
          <w:color w:val="000000" w:themeColor="text1"/>
          <w:u w:val="single"/>
        </w:rPr>
        <w:t>10</w:t>
      </w:r>
      <w:r w:rsidR="00035F2D">
        <w:rPr>
          <w:b/>
          <w:color w:val="000000" w:themeColor="text1"/>
          <w:u w:val="single"/>
        </w:rPr>
        <w:t>:0</w:t>
      </w:r>
      <w:r w:rsidR="00E404BE">
        <w:rPr>
          <w:b/>
          <w:color w:val="000000" w:themeColor="text1"/>
          <w:u w:val="single"/>
        </w:rPr>
        <w:t>0</w:t>
      </w:r>
      <w:proofErr w:type="gramEnd"/>
      <w:r w:rsidRPr="00E119AB">
        <w:rPr>
          <w:b/>
          <w:color w:val="000000" w:themeColor="text1"/>
          <w:u w:val="single"/>
        </w:rPr>
        <w:t xml:space="preserve"> horas do dia </w:t>
      </w:r>
      <w:r w:rsidR="00035F2D">
        <w:rPr>
          <w:b/>
          <w:color w:val="000000" w:themeColor="text1"/>
          <w:u w:val="single"/>
        </w:rPr>
        <w:t>29</w:t>
      </w:r>
      <w:r w:rsidR="006012B5" w:rsidRPr="00E119AB">
        <w:rPr>
          <w:b/>
          <w:color w:val="000000" w:themeColor="text1"/>
          <w:u w:val="single"/>
        </w:rPr>
        <w:t xml:space="preserve"> de </w:t>
      </w:r>
      <w:r w:rsidR="00035F2D">
        <w:rPr>
          <w:b/>
          <w:color w:val="000000" w:themeColor="text1"/>
          <w:u w:val="single"/>
        </w:rPr>
        <w:t>Maio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612F35">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612F35" w:rsidRPr="00612F35">
        <w:rPr>
          <w:rFonts w:ascii="Times New Roman" w:hAnsi="Times New Roman" w:cs="Times New Roman"/>
          <w:sz w:val="24"/>
          <w:szCs w:val="24"/>
        </w:rPr>
        <w:t xml:space="preserve">Contratação de empresa para o fornecimento de equipamentos (palco, som, gerador, iluminação de evento e banheiros químicos) para atender as necessidades do Município de São Miguel da Baixa </w:t>
      </w:r>
      <w:proofErr w:type="spellStart"/>
      <w:r w:rsidR="00612F35" w:rsidRPr="00612F35">
        <w:rPr>
          <w:rFonts w:ascii="Times New Roman" w:hAnsi="Times New Roman" w:cs="Times New Roman"/>
          <w:sz w:val="24"/>
          <w:szCs w:val="24"/>
        </w:rPr>
        <w:t>Grande-PI</w:t>
      </w:r>
      <w:proofErr w:type="spellEnd"/>
      <w:r w:rsidR="0066103F" w:rsidRPr="001C0C2C">
        <w:rPr>
          <w:rFonts w:ascii="Times New Roman" w:hAnsi="Times New Roman" w:cs="Times New Roman"/>
          <w:sz w:val="24"/>
          <w:szCs w:val="24"/>
        </w:rPr>
        <w:t>.</w:t>
      </w:r>
    </w:p>
    <w:p w:rsidR="006E3B1E" w:rsidRPr="00A94E2A" w:rsidRDefault="007F67E2" w:rsidP="00122985">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122985" w:rsidRPr="00122985">
        <w:rPr>
          <w:rFonts w:ascii="Times New Roman" w:hAnsi="Times New Roman" w:cs="Times New Roman"/>
          <w:sz w:val="24"/>
          <w:szCs w:val="24"/>
        </w:rPr>
        <w:t>R$ 62.800,00 (sessenta e dois mil e oitocentos reais)</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612F35">
        <w:rPr>
          <w:b/>
          <w:color w:val="000000" w:themeColor="text1"/>
        </w:rPr>
        <w:t>018</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612F35">
        <w:rPr>
          <w:b/>
          <w:u w:val="single"/>
        </w:rPr>
        <w:t xml:space="preserve">DIA 29/05/2018 ÀS </w:t>
      </w:r>
      <w:proofErr w:type="gramStart"/>
      <w:r w:rsidR="00612F35">
        <w:rPr>
          <w:b/>
          <w:u w:val="single"/>
        </w:rPr>
        <w:t>10</w:t>
      </w:r>
      <w:r w:rsidR="00035F2D">
        <w:rPr>
          <w:b/>
          <w:u w:val="single"/>
        </w:rPr>
        <w:t>:0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E404BE">
        <w:rPr>
          <w:b/>
          <w:color w:val="000000" w:themeColor="text1"/>
        </w:rPr>
        <w:t>01</w:t>
      </w:r>
      <w:r w:rsidR="00612F35">
        <w:rPr>
          <w:b/>
          <w:color w:val="000000" w:themeColor="text1"/>
        </w:rPr>
        <w:t>8</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612F35">
        <w:rPr>
          <w:b/>
          <w:u w:val="single"/>
        </w:rPr>
        <w:t xml:space="preserve">DIA 29/05/2018 ÀS </w:t>
      </w:r>
      <w:proofErr w:type="gramStart"/>
      <w:r w:rsidR="00612F35">
        <w:rPr>
          <w:b/>
          <w:u w:val="single"/>
        </w:rPr>
        <w:t>10</w:t>
      </w:r>
      <w:r w:rsidR="00035F2D">
        <w:rPr>
          <w:b/>
          <w:u w:val="single"/>
        </w:rPr>
        <w:t>:0</w:t>
      </w:r>
      <w:r w:rsidR="00E404BE">
        <w:rPr>
          <w:b/>
          <w:u w:val="single"/>
        </w:rPr>
        <w:t>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612F35" w:rsidRPr="00612F35">
        <w:rPr>
          <w:rFonts w:ascii="Times New Roman" w:hAnsi="Times New Roman" w:cs="Times New Roman"/>
          <w:b w:val="0"/>
          <w:sz w:val="24"/>
          <w:szCs w:val="24"/>
        </w:rPr>
        <w:t>FPM, ICMS,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1C0C2C" w:rsidRDefault="00612F35" w:rsidP="00612F35">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1532AF">
        <w:t>10</w:t>
      </w:r>
      <w:bookmarkStart w:id="0" w:name="_GoBack"/>
      <w:bookmarkEnd w:id="0"/>
      <w:r w:rsidR="0066103F" w:rsidRPr="00162C15">
        <w:t xml:space="preserve"> de </w:t>
      </w:r>
      <w:r w:rsidR="00AD614C">
        <w:t>Maio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Tomada de Preço Nº 01</w:t>
      </w:r>
      <w:r w:rsidR="00410AD8">
        <w:t>8</w:t>
      </w:r>
      <w:r w:rsidR="00BC51E8" w:rsidRPr="00F4106A">
        <w:t>/2018</w:t>
      </w:r>
    </w:p>
    <w:p w:rsidR="00E404BE" w:rsidRDefault="00E404BE" w:rsidP="00E404BE">
      <w:pPr>
        <w:shd w:val="clear" w:color="auto" w:fill="FFFFFF" w:themeFill="background1"/>
        <w:jc w:val="cente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843"/>
        <w:gridCol w:w="1843"/>
      </w:tblGrid>
      <w:tr w:rsidR="00A5674A" w:rsidRPr="00777B66" w:rsidTr="00492DD0">
        <w:trPr>
          <w:trHeight w:val="410"/>
        </w:trPr>
        <w:tc>
          <w:tcPr>
            <w:tcW w:w="851" w:type="dxa"/>
            <w:shd w:val="clear" w:color="auto" w:fill="D9D9D9" w:themeFill="background1" w:themeFillShade="D9"/>
            <w:vAlign w:val="center"/>
          </w:tcPr>
          <w:p w:rsidR="00A5674A" w:rsidRPr="00777B66" w:rsidRDefault="00A5674A" w:rsidP="00492DD0">
            <w:pPr>
              <w:jc w:val="center"/>
              <w:rPr>
                <w:b/>
              </w:rPr>
            </w:pPr>
            <w:r w:rsidRPr="00777B66">
              <w:rPr>
                <w:b/>
                <w:sz w:val="22"/>
              </w:rPr>
              <w:t>Item</w:t>
            </w:r>
          </w:p>
        </w:tc>
        <w:tc>
          <w:tcPr>
            <w:tcW w:w="4536" w:type="dxa"/>
            <w:shd w:val="clear" w:color="auto" w:fill="D9D9D9" w:themeFill="background1" w:themeFillShade="D9"/>
            <w:vAlign w:val="center"/>
          </w:tcPr>
          <w:p w:rsidR="00A5674A" w:rsidRPr="00777B66" w:rsidRDefault="00A5674A" w:rsidP="00492DD0">
            <w:pPr>
              <w:jc w:val="center"/>
              <w:rPr>
                <w:b/>
              </w:rPr>
            </w:pPr>
            <w:r w:rsidRPr="00777B66">
              <w:rPr>
                <w:b/>
                <w:sz w:val="22"/>
              </w:rPr>
              <w:t>Descrição do Serviço</w:t>
            </w:r>
          </w:p>
        </w:tc>
        <w:tc>
          <w:tcPr>
            <w:tcW w:w="1134" w:type="dxa"/>
            <w:shd w:val="clear" w:color="auto" w:fill="D9D9D9" w:themeFill="background1" w:themeFillShade="D9"/>
            <w:vAlign w:val="center"/>
          </w:tcPr>
          <w:p w:rsidR="00A5674A" w:rsidRPr="00777B66" w:rsidRDefault="00A5674A" w:rsidP="00492DD0">
            <w:pPr>
              <w:jc w:val="center"/>
              <w:rPr>
                <w:b/>
              </w:rPr>
            </w:pPr>
            <w:r w:rsidRPr="00777B66">
              <w:rPr>
                <w:b/>
                <w:sz w:val="22"/>
              </w:rPr>
              <w:t>Quant.</w:t>
            </w:r>
          </w:p>
        </w:tc>
        <w:tc>
          <w:tcPr>
            <w:tcW w:w="1843" w:type="dxa"/>
            <w:shd w:val="clear" w:color="auto" w:fill="D9D9D9" w:themeFill="background1" w:themeFillShade="D9"/>
            <w:vAlign w:val="center"/>
          </w:tcPr>
          <w:p w:rsidR="00A5674A" w:rsidRPr="00777B66" w:rsidRDefault="00A5674A" w:rsidP="00492DD0">
            <w:pPr>
              <w:jc w:val="center"/>
              <w:rPr>
                <w:b/>
              </w:rPr>
            </w:pPr>
            <w:r w:rsidRPr="00777B66">
              <w:rPr>
                <w:b/>
                <w:sz w:val="22"/>
              </w:rPr>
              <w:t>V</w:t>
            </w:r>
            <w:r>
              <w:rPr>
                <w:b/>
                <w:sz w:val="22"/>
              </w:rPr>
              <w:t>.</w:t>
            </w:r>
            <w:r w:rsidRPr="00777B66">
              <w:rPr>
                <w:b/>
                <w:sz w:val="22"/>
              </w:rPr>
              <w:t xml:space="preserve"> Unitário</w:t>
            </w:r>
          </w:p>
        </w:tc>
        <w:tc>
          <w:tcPr>
            <w:tcW w:w="1843" w:type="dxa"/>
            <w:shd w:val="clear" w:color="auto" w:fill="D9D9D9" w:themeFill="background1" w:themeFillShade="D9"/>
            <w:vAlign w:val="center"/>
          </w:tcPr>
          <w:p w:rsidR="00A5674A" w:rsidRPr="00777B66" w:rsidRDefault="00A5674A" w:rsidP="00492DD0">
            <w:pPr>
              <w:jc w:val="center"/>
              <w:rPr>
                <w:b/>
              </w:rPr>
            </w:pPr>
            <w:r w:rsidRPr="00777B66">
              <w:rPr>
                <w:b/>
                <w:sz w:val="22"/>
              </w:rPr>
              <w:t>Valor Global</w:t>
            </w:r>
          </w:p>
        </w:tc>
      </w:tr>
      <w:tr w:rsidR="00A5674A" w:rsidRPr="00777B66" w:rsidTr="00492DD0">
        <w:tc>
          <w:tcPr>
            <w:tcW w:w="851" w:type="dxa"/>
            <w:shd w:val="clear" w:color="auto" w:fill="auto"/>
            <w:vAlign w:val="center"/>
          </w:tcPr>
          <w:p w:rsidR="00A5674A" w:rsidRPr="00777B66" w:rsidRDefault="00A5674A" w:rsidP="00492DD0">
            <w:pPr>
              <w:jc w:val="center"/>
            </w:pPr>
            <w:r w:rsidRPr="00777B66">
              <w:rPr>
                <w:sz w:val="22"/>
              </w:rPr>
              <w:t>01</w:t>
            </w:r>
          </w:p>
        </w:tc>
        <w:tc>
          <w:tcPr>
            <w:tcW w:w="4536" w:type="dxa"/>
            <w:shd w:val="clear" w:color="auto" w:fill="auto"/>
            <w:vAlign w:val="center"/>
          </w:tcPr>
          <w:p w:rsidR="00A5674A" w:rsidRPr="00777B66" w:rsidRDefault="00A5674A" w:rsidP="00492DD0">
            <w:pPr>
              <w:jc w:val="both"/>
            </w:pPr>
            <w:r w:rsidRPr="00777B66">
              <w:rPr>
                <w:b/>
                <w:sz w:val="22"/>
              </w:rPr>
              <w:t xml:space="preserve">PALCO – </w:t>
            </w:r>
            <w:r w:rsidRPr="00777B66">
              <w:rPr>
                <w:sz w:val="22"/>
              </w:rPr>
              <w:t xml:space="preserve">Locação com montagem e desmontagem de PALCO MODULAR, para eventos de médio porte, obedecendo às seguintes especificações e dimensões mínimas: 12m de frente (boca de cena) x 8m de profundidade x 6m de altura, com orelha e plataforma para bateria, cobertura com Box </w:t>
            </w:r>
            <w:proofErr w:type="spellStart"/>
            <w:r w:rsidRPr="00777B66">
              <w:rPr>
                <w:sz w:val="22"/>
              </w:rPr>
              <w:t>truss</w:t>
            </w:r>
            <w:proofErr w:type="spellEnd"/>
            <w:r w:rsidRPr="00777B66">
              <w:rPr>
                <w:sz w:val="22"/>
              </w:rPr>
              <w:t xml:space="preserve">, piso em estrutura com compensado </w:t>
            </w:r>
            <w:proofErr w:type="gramStart"/>
            <w:r w:rsidRPr="00777B66">
              <w:rPr>
                <w:sz w:val="22"/>
              </w:rPr>
              <w:t>de</w:t>
            </w:r>
            <w:proofErr w:type="gramEnd"/>
          </w:p>
          <w:p w:rsidR="00A5674A" w:rsidRPr="00777B66" w:rsidRDefault="00A5674A" w:rsidP="00492DD0">
            <w:pPr>
              <w:jc w:val="both"/>
            </w:pPr>
            <w:proofErr w:type="gramStart"/>
            <w:r w:rsidRPr="00777B66">
              <w:rPr>
                <w:sz w:val="22"/>
              </w:rPr>
              <w:t>20mm</w:t>
            </w:r>
            <w:proofErr w:type="gramEnd"/>
            <w:r w:rsidRPr="00777B66">
              <w:rPr>
                <w:sz w:val="22"/>
              </w:rPr>
              <w:t xml:space="preserve"> e </w:t>
            </w:r>
            <w:proofErr w:type="spellStart"/>
            <w:r w:rsidRPr="00777B66">
              <w:rPr>
                <w:sz w:val="22"/>
              </w:rPr>
              <w:t>housemix</w:t>
            </w:r>
            <w:proofErr w:type="spellEnd"/>
            <w:r w:rsidRPr="00777B66">
              <w:rPr>
                <w:sz w:val="22"/>
              </w:rPr>
              <w:t xml:space="preserve"> para mesa de </w:t>
            </w:r>
            <w:proofErr w:type="spellStart"/>
            <w:r w:rsidRPr="00777B66">
              <w:rPr>
                <w:sz w:val="22"/>
              </w:rPr>
              <w:t>P.A</w:t>
            </w:r>
            <w:proofErr w:type="spellEnd"/>
            <w:r w:rsidRPr="00777B66">
              <w:rPr>
                <w:sz w:val="22"/>
              </w:rPr>
              <w:t>.</w:t>
            </w:r>
          </w:p>
        </w:tc>
        <w:tc>
          <w:tcPr>
            <w:tcW w:w="1134" w:type="dxa"/>
            <w:shd w:val="clear" w:color="auto" w:fill="auto"/>
            <w:vAlign w:val="center"/>
          </w:tcPr>
          <w:p w:rsidR="00A5674A" w:rsidRPr="00777B66" w:rsidRDefault="00A5674A" w:rsidP="00492DD0">
            <w:pPr>
              <w:tabs>
                <w:tab w:val="left" w:pos="330"/>
                <w:tab w:val="center" w:pos="529"/>
              </w:tabs>
              <w:jc w:val="center"/>
            </w:pPr>
            <w:r>
              <w:rPr>
                <w:sz w:val="22"/>
              </w:rPr>
              <w:t>04</w:t>
            </w:r>
          </w:p>
        </w:tc>
        <w:tc>
          <w:tcPr>
            <w:tcW w:w="1843" w:type="dxa"/>
            <w:shd w:val="clear" w:color="auto" w:fill="auto"/>
            <w:vAlign w:val="center"/>
          </w:tcPr>
          <w:p w:rsidR="00A5674A" w:rsidRPr="00777B66" w:rsidRDefault="00A5674A" w:rsidP="00492DD0">
            <w:pPr>
              <w:jc w:val="center"/>
            </w:pPr>
          </w:p>
        </w:tc>
        <w:tc>
          <w:tcPr>
            <w:tcW w:w="1843" w:type="dxa"/>
            <w:vAlign w:val="center"/>
          </w:tcPr>
          <w:p w:rsidR="00A5674A" w:rsidRPr="005B7401" w:rsidRDefault="00A5674A" w:rsidP="00492DD0">
            <w:pPr>
              <w:jc w:val="center"/>
              <w:rPr>
                <w:sz w:val="22"/>
              </w:rPr>
            </w:pPr>
          </w:p>
        </w:tc>
      </w:tr>
      <w:tr w:rsidR="00A5674A" w:rsidRPr="00777B66" w:rsidTr="00492DD0">
        <w:trPr>
          <w:trHeight w:val="650"/>
        </w:trPr>
        <w:tc>
          <w:tcPr>
            <w:tcW w:w="851" w:type="dxa"/>
            <w:shd w:val="clear" w:color="auto" w:fill="auto"/>
            <w:vAlign w:val="center"/>
          </w:tcPr>
          <w:p w:rsidR="00A5674A" w:rsidRPr="00777B66" w:rsidRDefault="00A5674A" w:rsidP="00492DD0">
            <w:pPr>
              <w:jc w:val="center"/>
            </w:pPr>
            <w:r w:rsidRPr="00777B66">
              <w:rPr>
                <w:sz w:val="22"/>
              </w:rPr>
              <w:t>02</w:t>
            </w:r>
          </w:p>
        </w:tc>
        <w:tc>
          <w:tcPr>
            <w:tcW w:w="4536" w:type="dxa"/>
            <w:shd w:val="clear" w:color="auto" w:fill="auto"/>
            <w:vAlign w:val="center"/>
          </w:tcPr>
          <w:p w:rsidR="00A5674A" w:rsidRPr="00777B66" w:rsidRDefault="00A5674A" w:rsidP="00492DD0">
            <w:pPr>
              <w:jc w:val="both"/>
            </w:pPr>
            <w:r w:rsidRPr="00777B66">
              <w:rPr>
                <w:b/>
                <w:sz w:val="22"/>
              </w:rPr>
              <w:t>Gerador</w:t>
            </w:r>
            <w:r w:rsidRPr="00777B66">
              <w:rPr>
                <w:sz w:val="22"/>
              </w:rPr>
              <w:t>- (</w:t>
            </w:r>
            <w:proofErr w:type="spellStart"/>
            <w:r w:rsidRPr="00777B66">
              <w:rPr>
                <w:sz w:val="22"/>
              </w:rPr>
              <w:t>gabinado</w:t>
            </w:r>
            <w:proofErr w:type="spellEnd"/>
            <w:r w:rsidRPr="00777B66">
              <w:rPr>
                <w:sz w:val="22"/>
              </w:rPr>
              <w:t xml:space="preserve"> e silenciado) de 180 </w:t>
            </w:r>
            <w:proofErr w:type="spellStart"/>
            <w:proofErr w:type="gramStart"/>
            <w:r w:rsidRPr="00777B66">
              <w:rPr>
                <w:sz w:val="22"/>
              </w:rPr>
              <w:t>kva</w:t>
            </w:r>
            <w:proofErr w:type="spellEnd"/>
            <w:proofErr w:type="gramEnd"/>
            <w:r w:rsidRPr="00777B66">
              <w:rPr>
                <w:sz w:val="22"/>
              </w:rPr>
              <w:t xml:space="preserve"> com manutenção e sem Diesel.</w:t>
            </w:r>
          </w:p>
        </w:tc>
        <w:tc>
          <w:tcPr>
            <w:tcW w:w="1134" w:type="dxa"/>
            <w:shd w:val="clear" w:color="auto" w:fill="auto"/>
            <w:vAlign w:val="center"/>
          </w:tcPr>
          <w:p w:rsidR="00A5674A" w:rsidRPr="00777B66" w:rsidRDefault="00A5674A" w:rsidP="00492DD0">
            <w:pPr>
              <w:jc w:val="center"/>
            </w:pPr>
            <w:r>
              <w:rPr>
                <w:sz w:val="22"/>
              </w:rPr>
              <w:t>04</w:t>
            </w:r>
          </w:p>
        </w:tc>
        <w:tc>
          <w:tcPr>
            <w:tcW w:w="1843" w:type="dxa"/>
            <w:shd w:val="clear" w:color="auto" w:fill="auto"/>
            <w:vAlign w:val="center"/>
          </w:tcPr>
          <w:p w:rsidR="00A5674A" w:rsidRPr="00777B66" w:rsidRDefault="00A5674A" w:rsidP="00492DD0">
            <w:pPr>
              <w:jc w:val="center"/>
            </w:pPr>
          </w:p>
        </w:tc>
        <w:tc>
          <w:tcPr>
            <w:tcW w:w="1843" w:type="dxa"/>
            <w:vAlign w:val="center"/>
          </w:tcPr>
          <w:p w:rsidR="00A5674A" w:rsidRPr="005B7401" w:rsidRDefault="00A5674A" w:rsidP="00492DD0">
            <w:pPr>
              <w:jc w:val="center"/>
              <w:rPr>
                <w:sz w:val="22"/>
              </w:rPr>
            </w:pPr>
          </w:p>
        </w:tc>
      </w:tr>
      <w:tr w:rsidR="00A5674A" w:rsidRPr="00777B66" w:rsidTr="00492DD0">
        <w:trPr>
          <w:trHeight w:val="352"/>
        </w:trPr>
        <w:tc>
          <w:tcPr>
            <w:tcW w:w="851" w:type="dxa"/>
            <w:shd w:val="clear" w:color="auto" w:fill="auto"/>
            <w:vAlign w:val="center"/>
          </w:tcPr>
          <w:p w:rsidR="00A5674A" w:rsidRPr="00777B66" w:rsidRDefault="00A5674A" w:rsidP="00492DD0">
            <w:pPr>
              <w:jc w:val="center"/>
            </w:pPr>
            <w:r w:rsidRPr="00777B66">
              <w:rPr>
                <w:sz w:val="22"/>
              </w:rPr>
              <w:t>03</w:t>
            </w:r>
          </w:p>
        </w:tc>
        <w:tc>
          <w:tcPr>
            <w:tcW w:w="4536" w:type="dxa"/>
            <w:shd w:val="clear" w:color="auto" w:fill="auto"/>
            <w:vAlign w:val="center"/>
          </w:tcPr>
          <w:p w:rsidR="00A5674A" w:rsidRPr="00777B66" w:rsidRDefault="00A5674A" w:rsidP="00492DD0">
            <w:pPr>
              <w:jc w:val="both"/>
              <w:rPr>
                <w:b/>
              </w:rPr>
            </w:pPr>
            <w:r w:rsidRPr="00777B66">
              <w:rPr>
                <w:b/>
                <w:sz w:val="22"/>
              </w:rPr>
              <w:t>BANHEIROS</w:t>
            </w:r>
            <w:r w:rsidRPr="00777B66">
              <w:rPr>
                <w:sz w:val="22"/>
              </w:rPr>
              <w:t xml:space="preserve"> - Locação de banheiro químico individual, portátil, com montagem, manutenção diária e desmontagem, em polietileno ou material similar, com teto translúcido, dimensões mínimas de 1,16m de frente x 1,22 de fundo x 2,10 de altura, composto de caixa de dejeto, porta papel higiênico, fechamento com identificação de ocupado, para uso público em geral.</w:t>
            </w:r>
          </w:p>
        </w:tc>
        <w:tc>
          <w:tcPr>
            <w:tcW w:w="1134" w:type="dxa"/>
            <w:shd w:val="clear" w:color="auto" w:fill="auto"/>
            <w:vAlign w:val="center"/>
          </w:tcPr>
          <w:p w:rsidR="00A5674A" w:rsidRPr="00777B66" w:rsidRDefault="00A5674A" w:rsidP="00492DD0">
            <w:pPr>
              <w:jc w:val="center"/>
            </w:pPr>
            <w:r>
              <w:rPr>
                <w:sz w:val="22"/>
              </w:rPr>
              <w:t>20</w:t>
            </w:r>
          </w:p>
        </w:tc>
        <w:tc>
          <w:tcPr>
            <w:tcW w:w="1843" w:type="dxa"/>
            <w:shd w:val="clear" w:color="auto" w:fill="auto"/>
            <w:vAlign w:val="center"/>
          </w:tcPr>
          <w:p w:rsidR="00A5674A" w:rsidRPr="00777B66" w:rsidRDefault="00A5674A" w:rsidP="00492DD0">
            <w:pPr>
              <w:jc w:val="center"/>
            </w:pPr>
          </w:p>
        </w:tc>
        <w:tc>
          <w:tcPr>
            <w:tcW w:w="1843" w:type="dxa"/>
            <w:vAlign w:val="center"/>
          </w:tcPr>
          <w:p w:rsidR="00A5674A" w:rsidRPr="005B7401" w:rsidRDefault="00A5674A" w:rsidP="00492DD0">
            <w:pPr>
              <w:jc w:val="center"/>
              <w:rPr>
                <w:sz w:val="22"/>
              </w:rPr>
            </w:pPr>
          </w:p>
        </w:tc>
      </w:tr>
      <w:tr w:rsidR="00A5674A" w:rsidRPr="00777B66" w:rsidTr="00492DD0">
        <w:trPr>
          <w:trHeight w:val="310"/>
        </w:trPr>
        <w:tc>
          <w:tcPr>
            <w:tcW w:w="851" w:type="dxa"/>
            <w:shd w:val="clear" w:color="auto" w:fill="auto"/>
            <w:vAlign w:val="center"/>
          </w:tcPr>
          <w:p w:rsidR="00A5674A" w:rsidRPr="00777B66" w:rsidRDefault="00A5674A" w:rsidP="00492DD0">
            <w:pPr>
              <w:jc w:val="center"/>
            </w:pPr>
            <w:r w:rsidRPr="00777B66">
              <w:rPr>
                <w:sz w:val="22"/>
              </w:rPr>
              <w:t>04</w:t>
            </w:r>
          </w:p>
        </w:tc>
        <w:tc>
          <w:tcPr>
            <w:tcW w:w="4536" w:type="dxa"/>
            <w:shd w:val="clear" w:color="auto" w:fill="auto"/>
            <w:vAlign w:val="center"/>
          </w:tcPr>
          <w:p w:rsidR="00A5674A" w:rsidRPr="00777B66" w:rsidRDefault="00A5674A" w:rsidP="00492DD0">
            <w:pPr>
              <w:jc w:val="both"/>
            </w:pPr>
            <w:r w:rsidRPr="00777B66">
              <w:rPr>
                <w:b/>
                <w:sz w:val="22"/>
              </w:rPr>
              <w:t>SOM</w:t>
            </w:r>
            <w:r w:rsidRPr="00777B66">
              <w:rPr>
                <w:sz w:val="22"/>
              </w:rPr>
              <w:t xml:space="preserve"> - SISTEMA DE SOM – </w:t>
            </w:r>
            <w:proofErr w:type="spellStart"/>
            <w:r w:rsidRPr="00777B66">
              <w:rPr>
                <w:sz w:val="22"/>
              </w:rPr>
              <w:t>P.A</w:t>
            </w:r>
            <w:proofErr w:type="spellEnd"/>
            <w:r w:rsidRPr="00777B66">
              <w:rPr>
                <w:sz w:val="22"/>
              </w:rPr>
              <w:t xml:space="preserve">. 01 (um) console digital 42 canais, 01 (um) equalizador gráfico 1/3 oitavas estéreo, 01 (um) CE player e 01 (um) sistema de </w:t>
            </w:r>
            <w:proofErr w:type="spellStart"/>
            <w:r w:rsidRPr="00777B66">
              <w:rPr>
                <w:sz w:val="22"/>
              </w:rPr>
              <w:t>intercomp</w:t>
            </w:r>
            <w:proofErr w:type="spellEnd"/>
            <w:r w:rsidRPr="00777B66">
              <w:rPr>
                <w:sz w:val="22"/>
              </w:rPr>
              <w:t xml:space="preserve"> </w:t>
            </w:r>
            <w:proofErr w:type="spellStart"/>
            <w:r w:rsidRPr="00777B66">
              <w:rPr>
                <w:sz w:val="22"/>
              </w:rPr>
              <w:t>P.A</w:t>
            </w:r>
            <w:proofErr w:type="spellEnd"/>
            <w:r w:rsidRPr="00777B66">
              <w:rPr>
                <w:sz w:val="22"/>
              </w:rPr>
              <w:t xml:space="preserve">. x monitor, </w:t>
            </w:r>
            <w:r w:rsidRPr="00777B66">
              <w:rPr>
                <w:b/>
                <w:sz w:val="22"/>
              </w:rPr>
              <w:t>CAIXAS DE AMPLIFICAÇÃO</w:t>
            </w:r>
            <w:r w:rsidRPr="00777B66">
              <w:rPr>
                <w:sz w:val="22"/>
              </w:rPr>
              <w:t xml:space="preserve"> – O sistema de </w:t>
            </w:r>
            <w:proofErr w:type="spellStart"/>
            <w:r w:rsidRPr="00777B66">
              <w:rPr>
                <w:sz w:val="22"/>
              </w:rPr>
              <w:t>P.A</w:t>
            </w:r>
            <w:proofErr w:type="spellEnd"/>
            <w:r w:rsidRPr="00777B66">
              <w:rPr>
                <w:sz w:val="22"/>
              </w:rPr>
              <w:t xml:space="preserve"> deverá ser capaz de produzir 110 DB </w:t>
            </w:r>
            <w:proofErr w:type="spellStart"/>
            <w:r w:rsidRPr="00777B66">
              <w:rPr>
                <w:sz w:val="22"/>
              </w:rPr>
              <w:t>SPL</w:t>
            </w:r>
            <w:proofErr w:type="spellEnd"/>
            <w:r w:rsidRPr="00777B66">
              <w:rPr>
                <w:sz w:val="22"/>
              </w:rPr>
              <w:t xml:space="preserve"> (30hz a </w:t>
            </w:r>
            <w:proofErr w:type="gramStart"/>
            <w:r w:rsidRPr="00777B66">
              <w:rPr>
                <w:sz w:val="22"/>
              </w:rPr>
              <w:t>20Kz</w:t>
            </w:r>
            <w:proofErr w:type="gramEnd"/>
            <w:r w:rsidRPr="00777B66">
              <w:rPr>
                <w:sz w:val="22"/>
              </w:rPr>
              <w:t xml:space="preserve">), </w:t>
            </w:r>
            <w:proofErr w:type="spellStart"/>
            <w:r w:rsidRPr="00777B66">
              <w:rPr>
                <w:sz w:val="22"/>
              </w:rPr>
              <w:t>certer</w:t>
            </w:r>
            <w:proofErr w:type="spellEnd"/>
            <w:r w:rsidRPr="00777B66">
              <w:rPr>
                <w:sz w:val="22"/>
              </w:rPr>
              <w:t xml:space="preserve"> Field </w:t>
            </w:r>
            <w:proofErr w:type="spellStart"/>
            <w:r w:rsidRPr="00777B66">
              <w:rPr>
                <w:sz w:val="22"/>
              </w:rPr>
              <w:t>stéreo</w:t>
            </w:r>
            <w:proofErr w:type="spellEnd"/>
            <w:r w:rsidRPr="00777B66">
              <w:rPr>
                <w:sz w:val="22"/>
              </w:rPr>
              <w:t xml:space="preserve"> e subgrave endereçado no </w:t>
            </w:r>
            <w:proofErr w:type="spellStart"/>
            <w:r w:rsidRPr="00777B66">
              <w:rPr>
                <w:sz w:val="22"/>
              </w:rPr>
              <w:t>aux</w:t>
            </w:r>
            <w:proofErr w:type="spellEnd"/>
            <w:r w:rsidRPr="00777B66">
              <w:rPr>
                <w:sz w:val="22"/>
              </w:rPr>
              <w:t xml:space="preserve"> 1,  </w:t>
            </w:r>
            <w:r w:rsidRPr="00777B66">
              <w:rPr>
                <w:b/>
                <w:sz w:val="22"/>
              </w:rPr>
              <w:t>SISTEMA DE MONITOR</w:t>
            </w:r>
            <w:r w:rsidRPr="00777B66">
              <w:rPr>
                <w:sz w:val="22"/>
              </w:rPr>
              <w:t xml:space="preserve"> – 01 (um) console digital 32 canais, 07 (sete) microfones com fio, 01 (um) microfone e 06 (seis) monitores de chão,. </w:t>
            </w:r>
            <w:r w:rsidRPr="00777B66">
              <w:rPr>
                <w:b/>
                <w:sz w:val="22"/>
              </w:rPr>
              <w:t xml:space="preserve">BACK </w:t>
            </w:r>
            <w:proofErr w:type="spellStart"/>
            <w:r w:rsidRPr="00777B66">
              <w:rPr>
                <w:b/>
                <w:sz w:val="22"/>
              </w:rPr>
              <w:t>LINE</w:t>
            </w:r>
            <w:proofErr w:type="spellEnd"/>
          </w:p>
          <w:p w:rsidR="00A5674A" w:rsidRPr="00777B66" w:rsidRDefault="00A5674A" w:rsidP="00492DD0">
            <w:pPr>
              <w:jc w:val="both"/>
              <w:rPr>
                <w:b/>
              </w:rPr>
            </w:pPr>
            <w:r w:rsidRPr="00777B66">
              <w:rPr>
                <w:sz w:val="22"/>
              </w:rPr>
              <w:t xml:space="preserve">– 01 (um) bateria com bumbo 22’’, </w:t>
            </w:r>
            <w:proofErr w:type="gramStart"/>
            <w:r w:rsidRPr="00777B66">
              <w:rPr>
                <w:sz w:val="22"/>
              </w:rPr>
              <w:t>2</w:t>
            </w:r>
            <w:proofErr w:type="gramEnd"/>
            <w:r w:rsidRPr="00777B66">
              <w:rPr>
                <w:sz w:val="22"/>
              </w:rPr>
              <w:t xml:space="preserve"> (dois) </w:t>
            </w:r>
            <w:proofErr w:type="spellStart"/>
            <w:r w:rsidRPr="00777B66">
              <w:rPr>
                <w:sz w:val="22"/>
              </w:rPr>
              <w:t>ton</w:t>
            </w:r>
            <w:proofErr w:type="spellEnd"/>
            <w:r w:rsidRPr="00777B66">
              <w:rPr>
                <w:sz w:val="22"/>
              </w:rPr>
              <w:t xml:space="preserve"> 10’’ e 12’’, 01 (um) surdo 16’’, 04 (quatro) estantes de prato, 01 (um) máquina de contratempo, banco e pedal de bumbo (</w:t>
            </w:r>
            <w:proofErr w:type="spellStart"/>
            <w:r w:rsidRPr="00777B66">
              <w:rPr>
                <w:sz w:val="22"/>
              </w:rPr>
              <w:t>obs</w:t>
            </w:r>
            <w:proofErr w:type="spellEnd"/>
            <w:r w:rsidRPr="00777B66">
              <w:rPr>
                <w:sz w:val="22"/>
              </w:rPr>
              <w:t xml:space="preserve">: as peles deverão ser novas e hidráulicas), 02 (dois) bancos de bateria, 03 (três) amplificadores, 01 (um) amplificador de baixo com caixas 4x10’’ e 01x15’’, 16 (dezesseis) pedestais cromados, 07 (sete) praticáveis (03 baterias, 03 teclados e 01 </w:t>
            </w:r>
            <w:proofErr w:type="spellStart"/>
            <w:r w:rsidRPr="00777B66">
              <w:rPr>
                <w:sz w:val="22"/>
              </w:rPr>
              <w:t>standby</w:t>
            </w:r>
            <w:proofErr w:type="spellEnd"/>
            <w:r w:rsidRPr="00777B66">
              <w:rPr>
                <w:sz w:val="22"/>
              </w:rPr>
              <w:t>) e 08 (oito) réguas de AC estabilizadas e aterradas, para os dias</w:t>
            </w:r>
          </w:p>
        </w:tc>
        <w:tc>
          <w:tcPr>
            <w:tcW w:w="1134" w:type="dxa"/>
            <w:shd w:val="clear" w:color="auto" w:fill="auto"/>
            <w:vAlign w:val="center"/>
          </w:tcPr>
          <w:p w:rsidR="00A5674A" w:rsidRPr="00777B66" w:rsidRDefault="00A5674A" w:rsidP="00492DD0">
            <w:pPr>
              <w:jc w:val="center"/>
            </w:pPr>
            <w:r>
              <w:rPr>
                <w:sz w:val="22"/>
              </w:rPr>
              <w:t>04</w:t>
            </w:r>
          </w:p>
        </w:tc>
        <w:tc>
          <w:tcPr>
            <w:tcW w:w="1843" w:type="dxa"/>
            <w:shd w:val="clear" w:color="auto" w:fill="auto"/>
            <w:vAlign w:val="center"/>
          </w:tcPr>
          <w:p w:rsidR="00A5674A" w:rsidRPr="00777B66" w:rsidRDefault="00A5674A" w:rsidP="00492DD0">
            <w:pPr>
              <w:jc w:val="center"/>
            </w:pPr>
          </w:p>
        </w:tc>
        <w:tc>
          <w:tcPr>
            <w:tcW w:w="1843" w:type="dxa"/>
            <w:vAlign w:val="center"/>
          </w:tcPr>
          <w:p w:rsidR="00A5674A" w:rsidRPr="005B7401" w:rsidRDefault="00A5674A" w:rsidP="00492DD0">
            <w:pPr>
              <w:jc w:val="center"/>
              <w:rPr>
                <w:sz w:val="22"/>
              </w:rPr>
            </w:pPr>
          </w:p>
        </w:tc>
      </w:tr>
      <w:tr w:rsidR="00A5674A" w:rsidRPr="00777B66" w:rsidTr="00122985">
        <w:trPr>
          <w:trHeight w:val="27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492DD0">
            <w:pPr>
              <w:jc w:val="center"/>
              <w:rPr>
                <w:sz w:val="22"/>
              </w:rPr>
            </w:pPr>
            <w:r>
              <w:rPr>
                <w:sz w:val="22"/>
              </w:rPr>
              <w:lastRenderedPageBreak/>
              <w:t>05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122985" w:rsidRDefault="00A5674A" w:rsidP="00492DD0">
            <w:pPr>
              <w:jc w:val="both"/>
              <w:rPr>
                <w:sz w:val="22"/>
              </w:rPr>
            </w:pPr>
            <w:r w:rsidRPr="00122985">
              <w:rPr>
                <w:sz w:val="22"/>
              </w:rPr>
              <w:t xml:space="preserve">Locação de Iluminação - com montagem e desmontagem, para eventos de médio porte a serem realizados pelo município. Especificações e dimensões </w:t>
            </w:r>
            <w:proofErr w:type="gramStart"/>
            <w:r w:rsidRPr="00122985">
              <w:rPr>
                <w:sz w:val="22"/>
              </w:rPr>
              <w:t>mínimas:</w:t>
            </w:r>
            <w:proofErr w:type="gramEnd"/>
            <w:r w:rsidRPr="00122985">
              <w:rPr>
                <w:sz w:val="22"/>
              </w:rPr>
              <w:t>48 Refletores focos 01, 02 e 05 (lâmpadas - par 64); 01 Mesa/</w:t>
            </w:r>
            <w:proofErr w:type="spellStart"/>
            <w:r w:rsidRPr="00122985">
              <w:rPr>
                <w:sz w:val="22"/>
              </w:rPr>
              <w:t>DIMMERS</w:t>
            </w:r>
            <w:proofErr w:type="spellEnd"/>
            <w:r w:rsidRPr="00122985">
              <w:rPr>
                <w:sz w:val="22"/>
              </w:rPr>
              <w:t xml:space="preserve"> com no mínimo 48 canais; 03 RACKS </w:t>
            </w:r>
            <w:proofErr w:type="spellStart"/>
            <w:r w:rsidRPr="00122985">
              <w:rPr>
                <w:sz w:val="22"/>
              </w:rPr>
              <w:t>DIMMERS</w:t>
            </w:r>
            <w:proofErr w:type="spellEnd"/>
            <w:r w:rsidRPr="00122985">
              <w:rPr>
                <w:sz w:val="22"/>
              </w:rPr>
              <w:t xml:space="preserve"> com 12 canais; Cabos e conexões; 01 Máquina de fumaça (cores variadas); Sistema montado de BOX </w:t>
            </w:r>
            <w:proofErr w:type="spellStart"/>
            <w:r w:rsidRPr="00122985">
              <w:rPr>
                <w:sz w:val="22"/>
              </w:rPr>
              <w:t>TRUSS</w:t>
            </w:r>
            <w:proofErr w:type="spellEnd"/>
            <w:r w:rsidRPr="00122985">
              <w:rPr>
                <w:sz w:val="22"/>
              </w:rPr>
              <w:t>, 01 Operador técnico e 01 Auxiliar técnico,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A5674A">
            <w:pPr>
              <w:jc w:val="center"/>
              <w:rPr>
                <w:sz w:val="22"/>
              </w:rPr>
            </w:pPr>
            <w:r>
              <w:rPr>
                <w:sz w:val="22"/>
              </w:rPr>
              <w:t>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492DD0">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74A" w:rsidRPr="00A5674A" w:rsidRDefault="00A5674A" w:rsidP="00492DD0">
            <w:pPr>
              <w:jc w:val="center"/>
              <w:rPr>
                <w:sz w:val="22"/>
              </w:rPr>
            </w:pPr>
          </w:p>
        </w:tc>
      </w:tr>
      <w:tr w:rsidR="00A5674A" w:rsidRPr="00777B66" w:rsidTr="00122985">
        <w:trPr>
          <w:trHeight w:val="72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492DD0">
            <w:pPr>
              <w:jc w:val="center"/>
              <w:rPr>
                <w:sz w:val="22"/>
              </w:rPr>
            </w:pPr>
            <w:r>
              <w:rPr>
                <w:sz w:val="22"/>
              </w:rPr>
              <w:t>06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122985" w:rsidRDefault="00A5674A" w:rsidP="00492DD0">
            <w:pPr>
              <w:jc w:val="both"/>
              <w:rPr>
                <w:sz w:val="22"/>
              </w:rPr>
            </w:pPr>
            <w:proofErr w:type="gramStart"/>
            <w:r w:rsidRPr="00122985">
              <w:rPr>
                <w:sz w:val="22"/>
              </w:rPr>
              <w:t>Grid.</w:t>
            </w:r>
            <w:proofErr w:type="gramEnd"/>
            <w:r w:rsidRPr="00122985">
              <w:rPr>
                <w:sz w:val="22"/>
              </w:rPr>
              <w:t xml:space="preserve">- EM TRELIÇA DE ALUMÍNIO COM 56 METROS DE TRELIÇA E </w:t>
            </w:r>
            <w:proofErr w:type="spellStart"/>
            <w:r w:rsidRPr="00122985">
              <w:rPr>
                <w:sz w:val="22"/>
              </w:rPr>
              <w:t>PES</w:t>
            </w:r>
            <w:proofErr w:type="spellEnd"/>
            <w:r w:rsidRPr="00122985">
              <w:rPr>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492DD0">
            <w:pPr>
              <w:jc w:val="center"/>
              <w:rPr>
                <w:sz w:val="22"/>
              </w:rPr>
            </w:pPr>
            <w:r>
              <w:rPr>
                <w:sz w:val="22"/>
              </w:rPr>
              <w:t>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674A" w:rsidRPr="00A5674A" w:rsidRDefault="00A5674A" w:rsidP="00492DD0">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74A" w:rsidRPr="00A5674A" w:rsidRDefault="00A5674A" w:rsidP="00492DD0">
            <w:pPr>
              <w:jc w:val="center"/>
              <w:rPr>
                <w:sz w:val="22"/>
              </w:rPr>
            </w:pPr>
          </w:p>
        </w:tc>
      </w:tr>
      <w:tr w:rsidR="00A5674A" w:rsidRPr="00777B66" w:rsidTr="00492DD0">
        <w:trPr>
          <w:trHeight w:val="740"/>
        </w:trPr>
        <w:tc>
          <w:tcPr>
            <w:tcW w:w="10207" w:type="dxa"/>
            <w:gridSpan w:val="5"/>
            <w:shd w:val="clear" w:color="auto" w:fill="D9D9D9" w:themeFill="background1" w:themeFillShade="D9"/>
            <w:vAlign w:val="center"/>
          </w:tcPr>
          <w:p w:rsidR="00A5674A" w:rsidRPr="00777B66" w:rsidRDefault="00A5674A" w:rsidP="00492DD0">
            <w:pPr>
              <w:jc w:val="center"/>
            </w:pPr>
            <w:r>
              <w:rPr>
                <w:rFonts w:eastAsia="Batang"/>
                <w:b/>
                <w:sz w:val="22"/>
              </w:rPr>
              <w:t xml:space="preserve">Valor total de </w:t>
            </w:r>
            <w:r w:rsidRPr="005B7401">
              <w:rPr>
                <w:rFonts w:eastAsia="Batang"/>
                <w:b/>
                <w:sz w:val="22"/>
              </w:rPr>
              <w:t xml:space="preserve">R$ 62.800,00 </w:t>
            </w:r>
            <w:r w:rsidRPr="00777B66">
              <w:rPr>
                <w:rFonts w:eastAsia="Batang"/>
                <w:b/>
                <w:sz w:val="22"/>
              </w:rPr>
              <w:t>(</w:t>
            </w:r>
            <w:r>
              <w:rPr>
                <w:rFonts w:eastAsia="Batang"/>
                <w:b/>
                <w:sz w:val="22"/>
              </w:rPr>
              <w:t>sessenta e dois mil e oitocentos reais</w:t>
            </w:r>
            <w:r w:rsidRPr="00777B66">
              <w:rPr>
                <w:rFonts w:eastAsia="Batang"/>
                <w:b/>
                <w:sz w:val="22"/>
              </w:rPr>
              <w:t>)</w:t>
            </w:r>
          </w:p>
        </w:tc>
      </w:tr>
    </w:tbl>
    <w:p w:rsidR="00A5674A" w:rsidRDefault="00A5674A" w:rsidP="00BC51E8">
      <w:pPr>
        <w:jc w:val="both"/>
      </w:pPr>
    </w:p>
    <w:p w:rsidR="00A5674A" w:rsidRDefault="00A5674A" w:rsidP="00BC51E8">
      <w:pPr>
        <w:jc w:val="both"/>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5E1C17">
        <w:rPr>
          <w:b/>
        </w:rPr>
        <w:t>01</w:t>
      </w:r>
      <w:r w:rsidR="00122985">
        <w:rPr>
          <w:b/>
        </w:rPr>
        <w:t>8</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5E1C17">
        <w:rPr>
          <w:b/>
        </w:rPr>
        <w:t>01</w:t>
      </w:r>
      <w:r w:rsidR="00122985">
        <w:rPr>
          <w:b/>
        </w:rPr>
        <w:t>8</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122985">
        <w:rPr>
          <w:b/>
          <w:bCs/>
        </w:rPr>
        <w:t>018</w:t>
      </w:r>
      <w:r w:rsidR="005E1C17">
        <w:rPr>
          <w:b/>
          <w:bCs/>
        </w:rPr>
        <w:t>/2018</w:t>
      </w:r>
    </w:p>
    <w:p w:rsidR="009A2B73" w:rsidRDefault="009A2B73" w:rsidP="009A2B73">
      <w:pPr>
        <w:jc w:val="center"/>
        <w:rPr>
          <w:b/>
          <w:bCs/>
        </w:rPr>
      </w:pPr>
      <w:r w:rsidRPr="00310E32">
        <w:rPr>
          <w:b/>
          <w:bCs/>
        </w:rPr>
        <w:t xml:space="preserve">PROCESSO ADMINISTRATIVO CPL Nº </w:t>
      </w:r>
      <w:r w:rsidR="00122985">
        <w:rPr>
          <w:b/>
          <w:bCs/>
        </w:rPr>
        <w:t>021</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122985" w:rsidP="009A2B73">
      <w:pPr>
        <w:ind w:left="3969"/>
        <w:jc w:val="both"/>
        <w:rPr>
          <w:b/>
          <w:sz w:val="20"/>
        </w:rPr>
      </w:pPr>
      <w:r w:rsidRPr="00122985">
        <w:rPr>
          <w:b/>
          <w:sz w:val="20"/>
        </w:rPr>
        <w:t xml:space="preserve">CONTRATAÇÃO DE EMPRESA PARA O FORNECIMENTO DE EQUIPAMENTOS (PALCO, SOM, GERADOR, ILUMINAÇÃO DE EVENTO E BANHEIROS QUÍMICOS) PARA ATENDER AS NECESSIDADES DO MUNICÍPIO DE SÃO MIGUEL DA BAIXA </w:t>
      </w:r>
      <w:proofErr w:type="spellStart"/>
      <w:r w:rsidRPr="00122985">
        <w:rPr>
          <w:b/>
          <w:sz w:val="20"/>
        </w:rPr>
        <w:t>GRANDE-PI</w:t>
      </w:r>
      <w:proofErr w:type="spellEnd"/>
      <w:r>
        <w:rPr>
          <w:b/>
          <w:sz w:val="20"/>
        </w:rPr>
        <w:t xml:space="preserve"> </w:t>
      </w:r>
      <w:r w:rsidRPr="003F2441">
        <w:rPr>
          <w:b/>
          <w:sz w:val="20"/>
        </w:rPr>
        <w:t xml:space="preserve">E A EMPRESA </w:t>
      </w:r>
      <w:r w:rsidR="00AD614C">
        <w:rPr>
          <w:b/>
          <w:sz w:val="20"/>
        </w:rPr>
        <w:t>_______________</w:t>
      </w:r>
      <w:r w:rsidR="00AD614C" w:rsidRPr="003F2441">
        <w:rPr>
          <w:b/>
          <w:sz w:val="20"/>
        </w:rPr>
        <w:t xml:space="preserve">, </w:t>
      </w:r>
      <w:r w:rsidR="005E1C17" w:rsidRPr="003F2441">
        <w:rPr>
          <w:b/>
          <w:sz w:val="20"/>
        </w:rPr>
        <w:t>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122985" w:rsidRPr="008A4ADE">
        <w:rPr>
          <w:rFonts w:eastAsia="Calibri"/>
        </w:rPr>
        <w:t>Contratação de empresa para</w:t>
      </w:r>
      <w:r w:rsidR="00122985">
        <w:rPr>
          <w:rFonts w:eastAsia="Calibri"/>
        </w:rPr>
        <w:t xml:space="preserve"> o fornecimento de equipamentos </w:t>
      </w:r>
      <w:r w:rsidR="00122985" w:rsidRPr="008A4ADE">
        <w:rPr>
          <w:rFonts w:eastAsia="Calibri"/>
        </w:rPr>
        <w:t>(palco,</w:t>
      </w:r>
      <w:r w:rsidR="00122985">
        <w:rPr>
          <w:rFonts w:eastAsia="Calibri"/>
        </w:rPr>
        <w:t xml:space="preserve"> </w:t>
      </w:r>
      <w:r w:rsidR="00122985" w:rsidRPr="008A4ADE">
        <w:rPr>
          <w:rFonts w:eastAsia="Calibri"/>
        </w:rPr>
        <w:t xml:space="preserve">som, </w:t>
      </w:r>
      <w:r w:rsidR="00122985">
        <w:rPr>
          <w:rFonts w:eastAsia="Calibri"/>
        </w:rPr>
        <w:t>gerador, iluminação de evento</w:t>
      </w:r>
      <w:r w:rsidR="00122985" w:rsidRPr="008A4ADE">
        <w:rPr>
          <w:rFonts w:eastAsia="Calibri"/>
        </w:rPr>
        <w:t xml:space="preserve"> e banheiros químico</w:t>
      </w:r>
      <w:r w:rsidR="00122985">
        <w:rPr>
          <w:rFonts w:eastAsia="Calibri"/>
        </w:rPr>
        <w:t xml:space="preserve">s) para atender as necessidades </w:t>
      </w:r>
      <w:r w:rsidR="00122985" w:rsidRPr="008A4ADE">
        <w:rPr>
          <w:rFonts w:eastAsia="Calibri"/>
        </w:rPr>
        <w:t xml:space="preserve">do Município de São Miguel da Baixa </w:t>
      </w:r>
      <w:proofErr w:type="spellStart"/>
      <w:r w:rsidR="00122985" w:rsidRPr="008A4ADE">
        <w:rPr>
          <w:rFonts w:eastAsia="Calibri"/>
        </w:rPr>
        <w:t>Grande-PI</w:t>
      </w:r>
      <w:proofErr w:type="spellEnd"/>
      <w:r w:rsidRPr="009A2B73">
        <w:t xml:space="preserve"> de acordo com a Lei Nº 8.666, de 21 de junho de 1993 e suas alterações posteriores, considerando o resultado do Pr</w:t>
      </w:r>
      <w:r w:rsidR="00030479">
        <w:t xml:space="preserve">ocesso Administrativo </w:t>
      </w:r>
      <w:r w:rsidR="00122985">
        <w:t>CPL nº 021</w:t>
      </w:r>
      <w:r w:rsidRPr="009A2B73">
        <w:t xml:space="preserve">/2018, na modalidade Tomada de Preço nº </w:t>
      </w:r>
      <w:r w:rsidR="005E1C17">
        <w:t>01</w:t>
      </w:r>
      <w:r w:rsidR="00122985">
        <w:t>8</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122985" w:rsidRPr="00122985">
        <w:rPr>
          <w:b/>
        </w:rPr>
        <w:t xml:space="preserve">Contratação de empresa para o fornecimento de equipamentos (palco, som, gerador, iluminação de evento e banheiros químicos) para atender as necessidades do Município de São Miguel da Baixa </w:t>
      </w:r>
      <w:proofErr w:type="spellStart"/>
      <w:r w:rsidR="00122985" w:rsidRPr="00122985">
        <w:rPr>
          <w:b/>
        </w:rPr>
        <w:t>Grande-PI</w:t>
      </w:r>
      <w:proofErr w:type="spellEnd"/>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122985" w:rsidP="004576D3">
      <w:pPr>
        <w:ind w:firstLine="851"/>
        <w:jc w:val="both"/>
      </w:pPr>
      <w:r>
        <w:t>A aquisição de</w:t>
      </w:r>
      <w:r w:rsidRPr="00122985">
        <w:rPr>
          <w:b/>
        </w:rPr>
        <w:t xml:space="preserve"> equipamentos (palco, som, gerador, iluminação de evento e banheiros químicos)</w:t>
      </w:r>
      <w:r w:rsidR="00AD614C">
        <w:rPr>
          <w:b/>
        </w:rPr>
        <w:t xml:space="preserve"> </w:t>
      </w:r>
      <w:r w:rsidR="00D3763B" w:rsidRPr="007328DE">
        <w:t>ora contratado, foi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122985" w:rsidRDefault="00122985" w:rsidP="00D3763B">
      <w:pPr>
        <w:jc w:val="both"/>
        <w:rPr>
          <w:b/>
        </w:rPr>
      </w:pPr>
    </w:p>
    <w:p w:rsidR="00122985" w:rsidRDefault="00122985" w:rsidP="00D3763B">
      <w:pPr>
        <w:jc w:val="both"/>
        <w:rPr>
          <w:b/>
        </w:rPr>
      </w:pPr>
    </w:p>
    <w:p w:rsidR="00D3763B" w:rsidRPr="004576D3" w:rsidRDefault="00D3763B" w:rsidP="00D3763B">
      <w:pPr>
        <w:jc w:val="both"/>
        <w:rPr>
          <w:b/>
        </w:rPr>
      </w:pPr>
      <w:r w:rsidRPr="004576D3">
        <w:rPr>
          <w:b/>
        </w:rPr>
        <w:lastRenderedPageBreak/>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5E1C17">
        <w:t>01</w:t>
      </w:r>
      <w:r w:rsidR="00122985">
        <w:t>8</w:t>
      </w:r>
      <w:r w:rsidR="005E1C17">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122985">
        <w:t>018</w:t>
      </w:r>
      <w:r w:rsidR="005E1C17">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lastRenderedPageBreak/>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122985" w:rsidRPr="00122985">
        <w:rPr>
          <w:b/>
        </w:rPr>
        <w:t>FPM, ICMS, Conta Movimento e Outros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D3763B" w:rsidRPr="004576D3" w:rsidRDefault="00D3763B" w:rsidP="00425EE9">
      <w:pPr>
        <w:spacing w:line="276" w:lineRule="auto"/>
        <w:jc w:val="both"/>
        <w:rPr>
          <w:b/>
        </w:rPr>
      </w:pPr>
      <w:r w:rsidRPr="004576D3">
        <w:rPr>
          <w:b/>
        </w:rPr>
        <w:lastRenderedPageBreak/>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A74B52" w:rsidRDefault="00A74B52" w:rsidP="00425EE9">
      <w:pPr>
        <w:spacing w:line="276" w:lineRule="auto"/>
        <w:jc w:val="both"/>
        <w:rPr>
          <w:b/>
        </w:rPr>
      </w:pPr>
    </w:p>
    <w:p w:rsidR="00D3763B" w:rsidRPr="00E62083" w:rsidRDefault="00D3763B" w:rsidP="00425EE9">
      <w:pPr>
        <w:spacing w:line="276" w:lineRule="auto"/>
        <w:jc w:val="both"/>
        <w:rPr>
          <w:b/>
        </w:rPr>
      </w:pPr>
      <w:r w:rsidRPr="00E62083">
        <w:rPr>
          <w:b/>
        </w:rPr>
        <w:lastRenderedPageBreak/>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5E1C17">
        <w:rPr>
          <w:szCs w:val="24"/>
        </w:rPr>
        <w:t>01</w:t>
      </w:r>
      <w:r w:rsidR="00A74B52">
        <w:rPr>
          <w:szCs w:val="24"/>
        </w:rPr>
        <w:t>8</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5E1C17">
        <w:rPr>
          <w:szCs w:val="24"/>
        </w:rPr>
        <w:t>01</w:t>
      </w:r>
      <w:r w:rsidR="00A74B52">
        <w:rPr>
          <w:szCs w:val="24"/>
        </w:rPr>
        <w:t>8</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DA" w:rsidRDefault="00D020DA" w:rsidP="00992D7E">
      <w:r>
        <w:separator/>
      </w:r>
    </w:p>
  </w:endnote>
  <w:endnote w:type="continuationSeparator" w:id="0">
    <w:p w:rsidR="00D020DA" w:rsidRDefault="00D020DA"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DA" w:rsidRDefault="00D020DA" w:rsidP="00992D7E">
      <w:r>
        <w:separator/>
      </w:r>
    </w:p>
  </w:footnote>
  <w:footnote w:type="continuationSeparator" w:id="0">
    <w:p w:rsidR="00D020DA" w:rsidRDefault="00D020DA"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22985"/>
    <w:rsid w:val="00145723"/>
    <w:rsid w:val="001532AF"/>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405FC"/>
    <w:rsid w:val="00347407"/>
    <w:rsid w:val="00351CF7"/>
    <w:rsid w:val="00367953"/>
    <w:rsid w:val="0037467C"/>
    <w:rsid w:val="003944EB"/>
    <w:rsid w:val="00395FF5"/>
    <w:rsid w:val="003B13FD"/>
    <w:rsid w:val="003B4F1B"/>
    <w:rsid w:val="003C5AC6"/>
    <w:rsid w:val="003C6029"/>
    <w:rsid w:val="003D70B2"/>
    <w:rsid w:val="003F2441"/>
    <w:rsid w:val="003F7B42"/>
    <w:rsid w:val="00410AD8"/>
    <w:rsid w:val="0041630F"/>
    <w:rsid w:val="00425EE9"/>
    <w:rsid w:val="00430334"/>
    <w:rsid w:val="00445CF1"/>
    <w:rsid w:val="00446977"/>
    <w:rsid w:val="004576D3"/>
    <w:rsid w:val="00480A55"/>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6012B5"/>
    <w:rsid w:val="00612F35"/>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8082B"/>
    <w:rsid w:val="00992D7E"/>
    <w:rsid w:val="00997091"/>
    <w:rsid w:val="009A2B73"/>
    <w:rsid w:val="009B3000"/>
    <w:rsid w:val="009C0902"/>
    <w:rsid w:val="009C2736"/>
    <w:rsid w:val="009F6D41"/>
    <w:rsid w:val="00A14C33"/>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20DA"/>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66F9"/>
    <w:rsid w:val="00EC64BE"/>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3247-28A1-4734-801D-D7EB718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24</Pages>
  <Words>6012</Words>
  <Characters>32467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40</cp:revision>
  <cp:lastPrinted>2018-05-11T20:09:00Z</cp:lastPrinted>
  <dcterms:created xsi:type="dcterms:W3CDTF">2017-08-31T01:20:00Z</dcterms:created>
  <dcterms:modified xsi:type="dcterms:W3CDTF">2018-05-15T23:08:00Z</dcterms:modified>
</cp:coreProperties>
</file>